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17" w:rsidRDefault="00CE2CFB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6"/>
          <w:u w:val="single"/>
        </w:rPr>
        <w:t xml:space="preserve">PROPOZICE – SOUTĚŽNÍ ŘÁD </w:t>
      </w:r>
    </w:p>
    <w:p w:rsidR="000C1F17" w:rsidRDefault="000C1F17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</w:pPr>
      <w:r>
        <w:rPr>
          <w:rFonts w:ascii="Verdana" w:hAnsi="Verdana"/>
          <w:b/>
          <w:bCs/>
          <w:color w:val="000000"/>
          <w:sz w:val="16"/>
          <w:szCs w:val="16"/>
        </w:rPr>
        <w:t>XX. Mezinárodní soutěž velkých dechových orchestrů Ostrava 2021</w:t>
      </w:r>
    </w:p>
    <w:p w:rsidR="000C1F17" w:rsidRDefault="000C1F17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I. Základní údaje</w:t>
      </w:r>
    </w:p>
    <w:p w:rsidR="000C1F17" w:rsidRDefault="00CE2CFB">
      <w:pPr>
        <w:spacing w:after="0" w:line="240" w:lineRule="auto"/>
      </w:pPr>
      <w:r>
        <w:rPr>
          <w:rFonts w:ascii="Verdana" w:hAnsi="Verdana"/>
          <w:sz w:val="16"/>
          <w:szCs w:val="16"/>
        </w:rPr>
        <w:t xml:space="preserve">Z pověření Ministerstva kultury pořádají NIPOS-ARTAMA Praha a Janáčkova filharmonie Ostrava, p. o. </w:t>
      </w:r>
    </w:p>
    <w:p w:rsidR="000C1F17" w:rsidRDefault="00CE2CFB">
      <w:pPr>
        <w:spacing w:after="0" w:line="240" w:lineRule="auto"/>
      </w:pPr>
      <w:r>
        <w:rPr>
          <w:rFonts w:ascii="Verdana" w:hAnsi="Verdana"/>
          <w:color w:val="000000"/>
          <w:sz w:val="16"/>
          <w:szCs w:val="16"/>
        </w:rPr>
        <w:t xml:space="preserve">Soutěžní festival se koná pod záštitou ministra kultury PhDr. Lubomíra Zaorálka </w:t>
      </w:r>
    </w:p>
    <w:p w:rsidR="000C1F17" w:rsidRDefault="00CE2CFB">
      <w:pPr>
        <w:spacing w:after="0" w:line="240" w:lineRule="auto"/>
      </w:pPr>
      <w:r>
        <w:rPr>
          <w:rFonts w:ascii="Verdana" w:hAnsi="Verdana"/>
          <w:color w:val="000000"/>
          <w:sz w:val="16"/>
          <w:szCs w:val="16"/>
        </w:rPr>
        <w:t xml:space="preserve">a za finanční podpory Ministerstva kultury ČR a OSA. 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II. </w:t>
      </w:r>
      <w:r>
        <w:rPr>
          <w:rFonts w:ascii="Verdana" w:hAnsi="Verdana"/>
          <w:b/>
          <w:color w:val="000000"/>
          <w:sz w:val="16"/>
          <w:szCs w:val="16"/>
        </w:rPr>
        <w:t>Termín konání</w:t>
      </w:r>
    </w:p>
    <w:p w:rsidR="000C1F17" w:rsidRDefault="00CE2CFB">
      <w:pPr>
        <w:spacing w:after="0" w:line="240" w:lineRule="auto"/>
      </w:pPr>
      <w:proofErr w:type="gramStart"/>
      <w:r>
        <w:rPr>
          <w:rFonts w:ascii="Verdana" w:hAnsi="Verdana"/>
          <w:color w:val="000000"/>
          <w:sz w:val="16"/>
          <w:szCs w:val="16"/>
        </w:rPr>
        <w:t>22.  – 23</w:t>
      </w:r>
      <w:proofErr w:type="gramEnd"/>
      <w:r>
        <w:rPr>
          <w:rFonts w:ascii="Verdana" w:hAnsi="Verdana"/>
          <w:color w:val="000000"/>
          <w:sz w:val="16"/>
          <w:szCs w:val="16"/>
        </w:rPr>
        <w:t>. října 2021</w:t>
      </w:r>
    </w:p>
    <w:p w:rsidR="000C1F17" w:rsidRDefault="000C1F17">
      <w:pPr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</w:p>
    <w:p w:rsidR="000C1F17" w:rsidRDefault="000C1F17">
      <w:pPr>
        <w:spacing w:after="0" w:line="240" w:lineRule="auto"/>
        <w:rPr>
          <w:rFonts w:ascii="Verdana" w:hAnsi="Verdana"/>
          <w:b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III. Podmínky soutěže</w:t>
      </w:r>
    </w:p>
    <w:p w:rsidR="000C1F17" w:rsidRDefault="00CE2CFB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 xml:space="preserve">Soutěž </w:t>
      </w:r>
      <w:r>
        <w:rPr>
          <w:rFonts w:ascii="Verdana" w:hAnsi="Verdana"/>
          <w:color w:val="000000"/>
          <w:sz w:val="16"/>
          <w:szCs w:val="16"/>
        </w:rPr>
        <w:t xml:space="preserve">je vypsána pro koncertní kategorii orchestrů typu harmonie v následujících třídách: 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ind w:left="284"/>
      </w:pPr>
      <w:r>
        <w:rPr>
          <w:rFonts w:ascii="Verdana" w:hAnsi="Verdana"/>
          <w:bCs/>
          <w:color w:val="000000"/>
          <w:sz w:val="16"/>
          <w:szCs w:val="16"/>
        </w:rPr>
        <w:t>střední třída,</w:t>
      </w:r>
    </w:p>
    <w:p w:rsidR="000C1F17" w:rsidRDefault="00CE2CFB">
      <w:pPr>
        <w:spacing w:after="0" w:line="240" w:lineRule="auto"/>
        <w:ind w:firstLine="284"/>
      </w:pPr>
      <w:r>
        <w:rPr>
          <w:rFonts w:ascii="Verdana" w:hAnsi="Verdana"/>
          <w:bCs/>
          <w:color w:val="000000"/>
          <w:sz w:val="16"/>
          <w:szCs w:val="16"/>
        </w:rPr>
        <w:t>vyšší třída,</w:t>
      </w:r>
    </w:p>
    <w:p w:rsidR="000C1F17" w:rsidRDefault="00CE2CFB">
      <w:pPr>
        <w:spacing w:after="0" w:line="240" w:lineRule="auto"/>
        <w:ind w:firstLine="284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bCs/>
          <w:color w:val="000000"/>
          <w:sz w:val="16"/>
          <w:szCs w:val="16"/>
        </w:rPr>
        <w:t>nejvyšší třída.</w:t>
      </w:r>
    </w:p>
    <w:p w:rsidR="000C1F17" w:rsidRDefault="000C1F17">
      <w:pPr>
        <w:spacing w:after="0" w:line="240" w:lineRule="auto"/>
        <w:ind w:firstLine="284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Soutěže se mohou zúčastnit orchestry, které odpovídají běžnému mezinárodnímu standardu bez omezení věku, v počtu minimálně 45, maximálně 85 hudebníků.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1"/>
        </w:numPr>
        <w:spacing w:after="0" w:line="240" w:lineRule="auto"/>
        <w:ind w:left="284" w:hanging="284"/>
      </w:pPr>
      <w:r>
        <w:rPr>
          <w:rFonts w:ascii="Verdana" w:hAnsi="Verdana"/>
          <w:b/>
          <w:sz w:val="16"/>
          <w:szCs w:val="16"/>
        </w:rPr>
        <w:t>Délka</w:t>
      </w:r>
      <w:r>
        <w:rPr>
          <w:rFonts w:ascii="Verdana" w:hAnsi="Verdana"/>
          <w:sz w:val="16"/>
          <w:szCs w:val="16"/>
        </w:rPr>
        <w:t xml:space="preserve"> vystoupení pro orchestry </w:t>
      </w:r>
      <w:r>
        <w:rPr>
          <w:rFonts w:ascii="Verdana" w:hAnsi="Verdana"/>
          <w:b/>
          <w:bCs/>
          <w:sz w:val="16"/>
          <w:szCs w:val="16"/>
        </w:rPr>
        <w:t xml:space="preserve">střední třídy </w:t>
      </w:r>
      <w:r>
        <w:rPr>
          <w:rFonts w:ascii="Verdana" w:hAnsi="Verdana"/>
          <w:sz w:val="16"/>
          <w:szCs w:val="16"/>
        </w:rPr>
        <w:t xml:space="preserve">je stanovena na </w:t>
      </w:r>
      <w:r>
        <w:rPr>
          <w:rFonts w:ascii="Verdana" w:hAnsi="Verdana"/>
          <w:b/>
          <w:sz w:val="16"/>
          <w:szCs w:val="16"/>
        </w:rPr>
        <w:t>35</w:t>
      </w:r>
      <w:r>
        <w:rPr>
          <w:rFonts w:ascii="Verdana" w:hAnsi="Verdana"/>
          <w:b/>
          <w:bCs/>
          <w:sz w:val="16"/>
          <w:szCs w:val="16"/>
        </w:rPr>
        <w:t xml:space="preserve"> minut</w:t>
      </w:r>
      <w:r>
        <w:rPr>
          <w:rFonts w:ascii="Verdana" w:hAnsi="Verdana"/>
          <w:sz w:val="16"/>
          <w:szCs w:val="16"/>
        </w:rPr>
        <w:t xml:space="preserve">, které obsahují maximálně </w:t>
      </w:r>
      <w:r>
        <w:rPr>
          <w:rFonts w:ascii="Verdana" w:hAnsi="Verdana"/>
          <w:sz w:val="16"/>
          <w:szCs w:val="16"/>
        </w:rPr>
        <w:br/>
        <w:t xml:space="preserve">10 minut pódiovou zkoušku v sále (nemá vliv na hodnocení poroty) a 25 minut časového limitu na přednesení soutěžního programu </w:t>
      </w:r>
      <w:r>
        <w:rPr>
          <w:rFonts w:ascii="Verdana" w:hAnsi="Verdana"/>
          <w:color w:val="FF0000"/>
          <w:sz w:val="16"/>
          <w:szCs w:val="16"/>
        </w:rPr>
        <w:t xml:space="preserve"> 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:rsidR="000C1F17" w:rsidRDefault="00CE2CFB">
      <w:pPr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Délka</w:t>
      </w:r>
      <w:r>
        <w:rPr>
          <w:rFonts w:ascii="Verdana" w:hAnsi="Verdana"/>
          <w:sz w:val="16"/>
          <w:szCs w:val="16"/>
        </w:rPr>
        <w:t xml:space="preserve"> vystoupení pro orchestry </w:t>
      </w:r>
      <w:r>
        <w:rPr>
          <w:rFonts w:ascii="Verdana" w:hAnsi="Verdana"/>
          <w:b/>
          <w:bCs/>
          <w:sz w:val="16"/>
          <w:szCs w:val="16"/>
        </w:rPr>
        <w:t xml:space="preserve">vyšší třídy </w:t>
      </w:r>
      <w:r>
        <w:rPr>
          <w:rFonts w:ascii="Verdana" w:hAnsi="Verdana"/>
          <w:sz w:val="16"/>
          <w:szCs w:val="16"/>
        </w:rPr>
        <w:t xml:space="preserve">je stanovena na </w:t>
      </w:r>
      <w:r>
        <w:rPr>
          <w:rFonts w:ascii="Verdana" w:hAnsi="Verdana"/>
          <w:b/>
          <w:bCs/>
          <w:sz w:val="16"/>
          <w:szCs w:val="16"/>
        </w:rPr>
        <w:t>40 minut</w:t>
      </w:r>
      <w:r>
        <w:rPr>
          <w:rFonts w:ascii="Verdana" w:hAnsi="Verdana"/>
          <w:sz w:val="16"/>
          <w:szCs w:val="16"/>
        </w:rPr>
        <w:t>, které obsahují</w:t>
      </w:r>
    </w:p>
    <w:p w:rsidR="000C1F17" w:rsidRDefault="00CE2CFB">
      <w:pPr>
        <w:spacing w:after="0" w:line="240" w:lineRule="auto"/>
        <w:ind w:left="284"/>
      </w:pPr>
      <w:r>
        <w:rPr>
          <w:rFonts w:ascii="Verdana" w:hAnsi="Verdana"/>
          <w:sz w:val="16"/>
          <w:szCs w:val="16"/>
        </w:rPr>
        <w:t xml:space="preserve">maximálně 10 minut pódiovou zkoušku v sále (nemá vliv na hodnocení poroty) a 30 minut časového limitu na přednesení soutěžního programu 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:rsidR="000C1F17" w:rsidRDefault="00CE2CFB">
      <w:pPr>
        <w:spacing w:after="0" w:line="240" w:lineRule="auto"/>
        <w:ind w:left="284"/>
      </w:pPr>
      <w:r>
        <w:rPr>
          <w:rFonts w:ascii="Verdana" w:hAnsi="Verdana"/>
          <w:b/>
          <w:sz w:val="16"/>
          <w:szCs w:val="16"/>
        </w:rPr>
        <w:t>Délka</w:t>
      </w:r>
      <w:r>
        <w:rPr>
          <w:rFonts w:ascii="Verdana" w:hAnsi="Verdana"/>
          <w:sz w:val="16"/>
          <w:szCs w:val="16"/>
        </w:rPr>
        <w:t xml:space="preserve"> vystoupení pro orchestry </w:t>
      </w:r>
      <w:r>
        <w:rPr>
          <w:rFonts w:ascii="Verdana" w:hAnsi="Verdana"/>
          <w:b/>
          <w:bCs/>
          <w:sz w:val="16"/>
          <w:szCs w:val="16"/>
        </w:rPr>
        <w:t xml:space="preserve">nejvyšší třídy </w:t>
      </w:r>
      <w:r>
        <w:rPr>
          <w:rFonts w:ascii="Verdana" w:hAnsi="Verdana"/>
          <w:sz w:val="16"/>
          <w:szCs w:val="16"/>
        </w:rPr>
        <w:t xml:space="preserve">je stanovena na </w:t>
      </w:r>
      <w:r>
        <w:rPr>
          <w:rFonts w:ascii="Verdana" w:hAnsi="Verdana"/>
          <w:b/>
          <w:sz w:val="16"/>
          <w:szCs w:val="16"/>
        </w:rPr>
        <w:t>45</w:t>
      </w:r>
      <w:r>
        <w:rPr>
          <w:rFonts w:ascii="Verdana" w:hAnsi="Verdana"/>
          <w:b/>
          <w:bCs/>
          <w:sz w:val="16"/>
          <w:szCs w:val="16"/>
        </w:rPr>
        <w:t xml:space="preserve"> minut</w:t>
      </w:r>
      <w:r>
        <w:rPr>
          <w:rFonts w:ascii="Verdana" w:hAnsi="Verdana"/>
          <w:sz w:val="16"/>
          <w:szCs w:val="16"/>
        </w:rPr>
        <w:t xml:space="preserve">, které obsahují maximálně </w:t>
      </w:r>
      <w:r>
        <w:rPr>
          <w:rFonts w:ascii="Verdana" w:hAnsi="Verdana"/>
          <w:sz w:val="16"/>
          <w:szCs w:val="16"/>
        </w:rPr>
        <w:br/>
        <w:t xml:space="preserve">10 minut pódiovou zkoušku v sále (nemá vliv na hodnocení poroty) a 35 minut časového limitu na přednesení soutěžního programu 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:rsidR="000C1F17" w:rsidRDefault="00CE2CFB">
      <w:pPr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Nedodržení časového limitu bude mít za následek snížení počtu bodů.</w:t>
      </w:r>
    </w:p>
    <w:p w:rsidR="000C1F17" w:rsidRDefault="000C1F17">
      <w:p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</w:p>
    <w:p w:rsidR="000C1F17" w:rsidRDefault="00CE2CFB">
      <w:pPr>
        <w:numPr>
          <w:ilvl w:val="0"/>
          <w:numId w:val="1"/>
        </w:numPr>
        <w:spacing w:after="0" w:line="240" w:lineRule="auto"/>
        <w:ind w:left="284" w:hanging="284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V soutěžním programu nesmí být zpívaný repertoár a skladby pro sólové nástroje. </w:t>
      </w:r>
    </w:p>
    <w:p w:rsidR="000C1F17" w:rsidRDefault="000C1F17">
      <w:pPr>
        <w:spacing w:after="0" w:line="240" w:lineRule="auto"/>
        <w:ind w:left="720"/>
        <w:rPr>
          <w:rFonts w:ascii="Verdana" w:hAnsi="Verdana"/>
          <w:b/>
          <w:bCs/>
          <w:color w:val="000000"/>
          <w:sz w:val="16"/>
          <w:szCs w:val="16"/>
        </w:rPr>
      </w:pPr>
    </w:p>
    <w:p w:rsidR="000C1F17" w:rsidRDefault="000C1F17">
      <w:pPr>
        <w:spacing w:after="0" w:line="240" w:lineRule="auto"/>
        <w:ind w:left="720"/>
        <w:rPr>
          <w:rFonts w:ascii="Verdana" w:hAnsi="Verdana"/>
          <w:b/>
          <w:bCs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IV. Termíny soutěže</w:t>
      </w:r>
    </w:p>
    <w:p w:rsidR="000C1F17" w:rsidRDefault="00CE2CFB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>Přihlášky do soutěže je možné podat nejpozději do</w:t>
      </w:r>
      <w:r>
        <w:rPr>
          <w:rFonts w:ascii="Verdana" w:hAnsi="Verdana"/>
          <w:b/>
          <w:color w:val="000000"/>
          <w:sz w:val="16"/>
          <w:szCs w:val="16"/>
        </w:rPr>
        <w:t xml:space="preserve"> 15. července 2021</w:t>
      </w:r>
      <w:r>
        <w:rPr>
          <w:rFonts w:ascii="Verdana" w:hAnsi="Verdana"/>
          <w:b/>
          <w:color w:val="FF0000"/>
          <w:sz w:val="16"/>
          <w:szCs w:val="16"/>
        </w:rPr>
        <w:t xml:space="preserve"> 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spacing w:after="120" w:line="240" w:lineRule="auto"/>
      </w:pPr>
      <w:r>
        <w:rPr>
          <w:rFonts w:ascii="Verdana" w:hAnsi="Verdana" w:cs="Arial"/>
          <w:bCs/>
          <w:color w:val="000000"/>
          <w:sz w:val="16"/>
          <w:szCs w:val="16"/>
        </w:rPr>
        <w:t>2.</w:t>
      </w:r>
      <w:r>
        <w:rPr>
          <w:rFonts w:ascii="Verdana" w:hAnsi="Verdana" w:cs="Arial"/>
          <w:bCs/>
          <w:color w:val="FF0000"/>
          <w:sz w:val="16"/>
          <w:szCs w:val="16"/>
        </w:rPr>
        <w:t xml:space="preserve">  </w:t>
      </w:r>
      <w:r>
        <w:rPr>
          <w:rFonts w:ascii="Verdana" w:hAnsi="Verdana" w:cs="Arial"/>
          <w:sz w:val="16"/>
          <w:szCs w:val="16"/>
        </w:rPr>
        <w:t xml:space="preserve">Součástí soutěže budou semináře dirigentů s mezinárodní odbornou porotou. 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20. září 2021 </w:t>
      </w:r>
      <w:r>
        <w:rPr>
          <w:rFonts w:ascii="Verdana" w:hAnsi="Verdana"/>
          <w:sz w:val="16"/>
          <w:szCs w:val="16"/>
        </w:rPr>
        <w:t>společně se stručnými údaji o orchestru a dirigentovi, fotografie v rozlišení minimálně 300 pixelů.</w:t>
      </w:r>
      <w:r>
        <w:rPr>
          <w:rFonts w:ascii="Verdana" w:hAnsi="Verdana"/>
          <w:color w:val="000000"/>
          <w:sz w:val="16"/>
          <w:szCs w:val="16"/>
        </w:rPr>
        <w:t xml:space="preserve"> Předložené pořadí soutěžních skladeb nemůže být dodatečně měněno.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 xml:space="preserve">Zúčastněné orchestry zašlou organizačnímu výboru partitury (řídící hlasy) svých soutěžních skladeb v pěti kopiích do 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30. září 2021 </w:t>
      </w:r>
    </w:p>
    <w:p w:rsidR="000C1F17" w:rsidRDefault="000C1F17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3"/>
        </w:numPr>
        <w:spacing w:after="0" w:line="240" w:lineRule="auto"/>
        <w:ind w:left="284" w:hanging="284"/>
      </w:pPr>
      <w:r>
        <w:rPr>
          <w:rFonts w:ascii="Verdana" w:hAnsi="Verdana"/>
          <w:color w:val="000000"/>
          <w:sz w:val="16"/>
          <w:szCs w:val="16"/>
        </w:rPr>
        <w:t xml:space="preserve">Pořadí soutěžních vystoupení orchestrů je věcí pořadatele, informaci o rozlosování soutěže obdrží každý orchestr do </w:t>
      </w:r>
      <w:r>
        <w:rPr>
          <w:rFonts w:ascii="Verdana" w:hAnsi="Verdana"/>
          <w:b/>
          <w:bCs/>
          <w:color w:val="000000"/>
          <w:sz w:val="16"/>
          <w:szCs w:val="16"/>
        </w:rPr>
        <w:t>30. září 2021</w:t>
      </w:r>
      <w:r>
        <w:rPr>
          <w:rFonts w:ascii="Verdana" w:hAnsi="Verdana"/>
          <w:b/>
          <w:color w:val="000000"/>
          <w:sz w:val="16"/>
          <w:szCs w:val="16"/>
        </w:rPr>
        <w:t>.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V. Hodnocení soutěže</w:t>
      </w:r>
    </w:p>
    <w:p w:rsidR="000C1F17" w:rsidRDefault="00CE2CFB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Výkony v soutěži bude hodnotit mezinárodní porota, složená z předních odborníků na dechovou hudbu, jmenovaná NIPOS-ARTAMA Praha.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pStyle w:val="Odstavecseseznamem"/>
        <w:numPr>
          <w:ilvl w:val="0"/>
          <w:numId w:val="4"/>
        </w:numPr>
        <w:spacing w:after="0" w:line="240" w:lineRule="auto"/>
        <w:ind w:left="284"/>
      </w:pPr>
      <w:r>
        <w:rPr>
          <w:rFonts w:ascii="Verdana" w:hAnsi="Verdana"/>
          <w:sz w:val="16"/>
          <w:szCs w:val="16"/>
        </w:rPr>
        <w:t xml:space="preserve">Odborná porota bude hodnotit </w:t>
      </w:r>
      <w:r>
        <w:rPr>
          <w:rFonts w:ascii="Verdana" w:hAnsi="Verdana"/>
          <w:color w:val="000000"/>
          <w:sz w:val="16"/>
          <w:szCs w:val="16"/>
        </w:rPr>
        <w:t xml:space="preserve">následující kritéria: 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ladění,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kvalita tónu a zvuku,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frázování a artikulace,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technické provedení,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rytmické provedení/souhra,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dynamika a vyrovnanost zvuku,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prožití (procítění) stylu/interpretace,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tempo,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volba repertoáru s ohledem na vyspělost orchestru a zařazení do soutěžní třídy,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celkový dojem. 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Výsledky soutěže sdělí porota po soutěži. Orchestr obdrží od jednotlivých porotců písemné stanovisko ve formě hodnotitelského listu. Porotou dosažené hodnocení je konečné a nelze jej zpochybnit.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 soutěži budou uděleny tyto ceny:</w:t>
      </w:r>
    </w:p>
    <w:p w:rsidR="000C1F17" w:rsidRDefault="000C1F17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</w:p>
    <w:p w:rsidR="000C1F17" w:rsidRDefault="00CE2CFB">
      <w:pPr>
        <w:spacing w:after="0"/>
        <w:ind w:left="284"/>
      </w:pPr>
      <w:r>
        <w:rPr>
          <w:rFonts w:ascii="Verdana" w:hAnsi="Verdana"/>
          <w:b/>
          <w:bCs/>
          <w:iCs/>
          <w:sz w:val="16"/>
          <w:szCs w:val="16"/>
        </w:rPr>
        <w:t>vítěz třídy,</w:t>
      </w:r>
    </w:p>
    <w:p w:rsidR="000C1F17" w:rsidRDefault="00CE2CFB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>za dirigentský výkon,</w:t>
      </w:r>
    </w:p>
    <w:p w:rsidR="000C1F17" w:rsidRDefault="00CE2CFB">
      <w:pPr>
        <w:spacing w:after="0"/>
        <w:ind w:left="284"/>
        <w:rPr>
          <w:rFonts w:ascii="Verdana" w:hAnsi="Verdana"/>
          <w:b/>
          <w:bCs/>
          <w:iCs/>
          <w:sz w:val="16"/>
          <w:szCs w:val="16"/>
        </w:rPr>
      </w:pPr>
      <w:r>
        <w:rPr>
          <w:rFonts w:ascii="Verdana" w:hAnsi="Verdana"/>
          <w:b/>
          <w:bCs/>
          <w:iCs/>
          <w:sz w:val="16"/>
          <w:szCs w:val="16"/>
        </w:rPr>
        <w:t>absolutní vítěz soutěže.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Pokud je ve třídě pouze jeden orchestr, nemůže být udělena cena „vítěz třídy“.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Cenu pro absolutního vítěze získává orchestr, který dosáhl nejvyšší počet bodů bez omezení třídy. </w:t>
      </w:r>
    </w:p>
    <w:p w:rsidR="000C1F17" w:rsidRDefault="000C1F17">
      <w:pPr>
        <w:spacing w:after="0" w:line="240" w:lineRule="auto"/>
        <w:ind w:left="720"/>
        <w:rPr>
          <w:rFonts w:ascii="Verdana" w:hAnsi="Verdana"/>
          <w:sz w:val="16"/>
          <w:szCs w:val="16"/>
        </w:rPr>
      </w:pPr>
    </w:p>
    <w:p w:rsidR="000C1F17" w:rsidRDefault="00CE2CFB">
      <w:pPr>
        <w:numPr>
          <w:ilvl w:val="0"/>
          <w:numId w:val="4"/>
        </w:num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Uděleným bodům budou přiděleny následující přívlastky: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výborný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90,01–100 bodů,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velmi dobrý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80,01–90 bodů,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dobrý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70,01–80 bodů,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uspokojivý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60,01–70 bodů,</w:t>
      </w: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zúčastnil se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60,00 bodů.</w:t>
      </w:r>
    </w:p>
    <w:p w:rsidR="000C1F17" w:rsidRDefault="000C1F17">
      <w:pPr>
        <w:spacing w:after="0" w:line="240" w:lineRule="auto"/>
        <w:ind w:left="284"/>
        <w:rPr>
          <w:rFonts w:ascii="Verdana" w:hAnsi="Verdana"/>
          <w:color w:val="000000"/>
          <w:sz w:val="8"/>
          <w:szCs w:val="8"/>
        </w:rPr>
      </w:pPr>
    </w:p>
    <w:p w:rsidR="000C1F17" w:rsidRDefault="00CE2CFB">
      <w:pPr>
        <w:spacing w:after="0" w:line="240" w:lineRule="auto"/>
        <w:ind w:left="284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Na základě obdržených bodů budou orchestry zařazeny:</w:t>
      </w:r>
    </w:p>
    <w:p w:rsidR="000C1F17" w:rsidRDefault="000C1F17">
      <w:pPr>
        <w:spacing w:after="0" w:line="240" w:lineRule="auto"/>
        <w:ind w:left="284" w:hanging="284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bronzové pásmo</w:t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 xml:space="preserve">60,00–69,99 bodů, </w:t>
      </w:r>
    </w:p>
    <w:p w:rsidR="000C1F17" w:rsidRDefault="00CE2CFB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stříbrné pásmo</w:t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 xml:space="preserve">70,00–79,99 bodů, </w:t>
      </w:r>
    </w:p>
    <w:p w:rsidR="000C1F17" w:rsidRDefault="00CE2CFB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zlaté pásmo</w:t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  <w:t xml:space="preserve">80,00–89,99 bodů, </w:t>
      </w:r>
    </w:p>
    <w:p w:rsidR="000C1F17" w:rsidRDefault="00CE2CFB">
      <w:pPr>
        <w:pStyle w:val="FormtovanvHTML"/>
        <w:ind w:left="284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zlaté pásmo s vyznamenáním</w:t>
      </w:r>
      <w:r>
        <w:rPr>
          <w:rFonts w:ascii="Verdana" w:hAnsi="Verdana" w:cs="Times New Roman"/>
          <w:sz w:val="16"/>
          <w:szCs w:val="16"/>
        </w:rPr>
        <w:tab/>
        <w:t xml:space="preserve">90,00–100 bodů. </w:t>
      </w:r>
    </w:p>
    <w:p w:rsidR="000C1F17" w:rsidRDefault="000C1F17">
      <w:pPr>
        <w:spacing w:after="0" w:line="240" w:lineRule="auto"/>
        <w:rPr>
          <w:rFonts w:ascii="Verdana" w:hAnsi="Verdana"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VI. Ostatní</w:t>
      </w:r>
    </w:p>
    <w:p w:rsidR="000C1F17" w:rsidRDefault="00CE2CFB">
      <w:pPr>
        <w:spacing w:after="0" w:line="240" w:lineRule="auto"/>
        <w:rPr>
          <w:rFonts w:ascii="Verdana" w:hAnsi="Verdana"/>
          <w:bCs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Pro soutěž bude pořadatelem zajištěno sezení hudebníků, </w:t>
      </w:r>
      <w:r>
        <w:rPr>
          <w:rFonts w:ascii="Verdana" w:hAnsi="Verdana"/>
          <w:bCs/>
          <w:color w:val="000000"/>
          <w:sz w:val="16"/>
          <w:szCs w:val="16"/>
        </w:rPr>
        <w:t>dirigentský pult, notové stojánky a b</w:t>
      </w:r>
      <w:r w:rsidR="0032725F">
        <w:rPr>
          <w:rFonts w:ascii="Verdana" w:hAnsi="Verdana"/>
          <w:bCs/>
          <w:color w:val="000000"/>
          <w:sz w:val="16"/>
          <w:szCs w:val="16"/>
        </w:rPr>
        <w:t>icí nástroje</w:t>
      </w:r>
      <w:r>
        <w:rPr>
          <w:rFonts w:ascii="Verdana" w:hAnsi="Verdana"/>
          <w:bCs/>
          <w:color w:val="000000"/>
          <w:sz w:val="16"/>
          <w:szCs w:val="16"/>
        </w:rPr>
        <w:t xml:space="preserve">. </w:t>
      </w:r>
    </w:p>
    <w:p w:rsidR="000C1F17" w:rsidRDefault="000C1F17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VII. Další podmínky soutěže</w:t>
      </w:r>
    </w:p>
    <w:p w:rsidR="000C1F17" w:rsidRDefault="00CE2CF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Během soutěže jsou všechny orchestry plně k dispozici organizačnímu výboru a nemohou se samostatně zavazovat k jiným vystoupením. Případné natáčení soutěžních vystoupení Českým rozhlasem nebo Českou televizí nezakládá nárok na honorář. </w:t>
      </w:r>
    </w:p>
    <w:p w:rsidR="000C1F17" w:rsidRDefault="000C1F17">
      <w:pPr>
        <w:pStyle w:val="Odstavecseseznamem"/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:rsidR="000C1F17" w:rsidRDefault="00CE2CFB">
      <w:pPr>
        <w:pStyle w:val="Odstavecseseznamem"/>
        <w:numPr>
          <w:ilvl w:val="0"/>
          <w:numId w:val="2"/>
        </w:numPr>
        <w:spacing w:after="0" w:line="240" w:lineRule="auto"/>
        <w:ind w:left="284" w:hanging="284"/>
      </w:pPr>
      <w:r>
        <w:rPr>
          <w:rFonts w:ascii="Verdana" w:hAnsi="Verdana"/>
          <w:sz w:val="16"/>
          <w:szCs w:val="16"/>
        </w:rPr>
        <w:t xml:space="preserve">Mezinárodní soutěž začíná </w:t>
      </w:r>
      <w:r>
        <w:rPr>
          <w:rFonts w:ascii="Verdana" w:hAnsi="Verdana"/>
          <w:b/>
          <w:sz w:val="16"/>
          <w:szCs w:val="16"/>
        </w:rPr>
        <w:t xml:space="preserve">22. října – </w:t>
      </w:r>
      <w:r>
        <w:rPr>
          <w:rFonts w:ascii="Verdana" w:hAnsi="Verdana"/>
          <w:sz w:val="16"/>
          <w:szCs w:val="16"/>
        </w:rPr>
        <w:t xml:space="preserve">končí </w:t>
      </w:r>
      <w:r>
        <w:rPr>
          <w:rFonts w:ascii="Verdana" w:hAnsi="Verdana"/>
          <w:b/>
          <w:sz w:val="16"/>
          <w:szCs w:val="16"/>
        </w:rPr>
        <w:t>23. října 2021</w:t>
      </w:r>
      <w:r>
        <w:rPr>
          <w:rFonts w:ascii="Verdana" w:hAnsi="Verdana"/>
          <w:sz w:val="16"/>
          <w:szCs w:val="16"/>
        </w:rPr>
        <w:t>.</w:t>
      </w:r>
    </w:p>
    <w:p w:rsidR="000C1F17" w:rsidRDefault="000C1F17">
      <w:pPr>
        <w:pStyle w:val="Odstavecseseznamem"/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:rsidR="000C1F17" w:rsidRDefault="00CE2CF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 organizaci a průběhu soutěže jsou vydány: </w:t>
      </w:r>
    </w:p>
    <w:p w:rsidR="000C1F17" w:rsidRDefault="000C1F17">
      <w:pPr>
        <w:pStyle w:val="Odstavecseseznamem"/>
        <w:spacing w:after="0" w:line="240" w:lineRule="auto"/>
        <w:ind w:left="284"/>
        <w:rPr>
          <w:rFonts w:ascii="Verdana" w:hAnsi="Verdana"/>
          <w:sz w:val="16"/>
          <w:szCs w:val="16"/>
        </w:rPr>
      </w:pPr>
    </w:p>
    <w:p w:rsidR="000C1F17" w:rsidRDefault="00CE2CFB">
      <w:pPr>
        <w:pStyle w:val="Odstavecseseznamem"/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samostatné organizační pokyny,</w:t>
      </w:r>
    </w:p>
    <w:p w:rsidR="000C1F17" w:rsidRDefault="00CE2CFB">
      <w:pPr>
        <w:pStyle w:val="Odstavecseseznamem"/>
        <w:spacing w:after="0" w:line="240" w:lineRule="auto"/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dohoda o účasti (na základě písemné přihlášky),</w:t>
      </w:r>
    </w:p>
    <w:p w:rsidR="000C1F17" w:rsidRDefault="000C1F17">
      <w:pPr>
        <w:pStyle w:val="Odstavecseseznamem"/>
        <w:spacing w:after="0" w:line="240" w:lineRule="auto"/>
        <w:ind w:left="284"/>
        <w:rPr>
          <w:rFonts w:ascii="Verdana" w:hAnsi="Verdana"/>
          <w:sz w:val="8"/>
          <w:szCs w:val="8"/>
        </w:rPr>
      </w:pPr>
    </w:p>
    <w:p w:rsidR="000C1F17" w:rsidRDefault="00CE2CFB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Veškerou korespondenci týkající se organizace mezinárodní soutěže velkých dechových orchestrů vede pořadatel, organizační výbor a jeho sekretariát.</w:t>
      </w:r>
    </w:p>
    <w:p w:rsidR="000C1F17" w:rsidRDefault="000C1F17">
      <w:pPr>
        <w:spacing w:after="0" w:line="240" w:lineRule="auto"/>
        <w:rPr>
          <w:rFonts w:ascii="Verdana" w:hAnsi="Verdana"/>
          <w:sz w:val="16"/>
          <w:szCs w:val="16"/>
        </w:rPr>
      </w:pPr>
    </w:p>
    <w:p w:rsidR="000C1F17" w:rsidRDefault="00CE2CF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Kontaktní adresa: </w:t>
      </w:r>
    </w:p>
    <w:p w:rsidR="000C1F17" w:rsidRDefault="000C1F17">
      <w:pPr>
        <w:spacing w:after="0" w:line="240" w:lineRule="auto"/>
        <w:rPr>
          <w:rFonts w:ascii="Verdana" w:hAnsi="Verdana"/>
          <w:b/>
          <w:sz w:val="8"/>
          <w:szCs w:val="8"/>
        </w:rPr>
      </w:pPr>
    </w:p>
    <w:p w:rsidR="000C1F17" w:rsidRDefault="00CE2CFB">
      <w:pPr>
        <w:pStyle w:val="Bezmez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Janáčkova filharmonie Ostrava, p. o. 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 xml:space="preserve">NIPOS - </w:t>
      </w:r>
      <w:proofErr w:type="spellStart"/>
      <w:r>
        <w:rPr>
          <w:rFonts w:ascii="Verdana" w:hAnsi="Verdana"/>
          <w:b/>
          <w:color w:val="000000"/>
          <w:sz w:val="16"/>
          <w:szCs w:val="16"/>
        </w:rPr>
        <w:t>Artama</w:t>
      </w:r>
      <w:proofErr w:type="spellEnd"/>
      <w:r>
        <w:rPr>
          <w:rFonts w:ascii="Verdana" w:hAnsi="Verdana"/>
          <w:b/>
          <w:color w:val="000000"/>
          <w:sz w:val="16"/>
          <w:szCs w:val="16"/>
        </w:rPr>
        <w:t xml:space="preserve"> Praha</w:t>
      </w:r>
      <w:r>
        <w:rPr>
          <w:rFonts w:ascii="Verdana" w:hAnsi="Verdana"/>
          <w:b/>
          <w:sz w:val="16"/>
          <w:szCs w:val="16"/>
        </w:rPr>
        <w:t xml:space="preserve">   </w:t>
      </w:r>
    </w:p>
    <w:p w:rsidR="000C1F17" w:rsidRDefault="00CE2CFB">
      <w:pPr>
        <w:pStyle w:val="Bezmez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Markéta Haničáková</w:t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>Václav Hlaváček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0C1F17" w:rsidRDefault="00CE2CFB">
      <w:pPr>
        <w:pStyle w:val="Zkladntex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ul. 28. října 124/2556 | 709 24 Ostrava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Fügnerovo náměstí 1866/5, P. O. Box 12 | 120 21 Praha </w:t>
      </w:r>
    </w:p>
    <w:p w:rsidR="000C1F17" w:rsidRDefault="00CE2CFB">
      <w:pPr>
        <w:pStyle w:val="Zkladntex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mobil: +420 724 040 133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mobil: + 420 603 242 784</w:t>
      </w:r>
      <w:bookmarkStart w:id="0" w:name="_GoBack"/>
      <w:bookmarkEnd w:id="0"/>
    </w:p>
    <w:p w:rsidR="000C1F17" w:rsidRDefault="00CE2CFB">
      <w:pPr>
        <w:spacing w:after="0" w:line="240" w:lineRule="auto"/>
      </w:pPr>
      <w:r>
        <w:rPr>
          <w:rStyle w:val="Internetovodkaz"/>
          <w:rFonts w:ascii="Verdana" w:hAnsi="Verdana"/>
          <w:color w:val="00000A"/>
          <w:sz w:val="16"/>
          <w:szCs w:val="16"/>
          <w:u w:val="none"/>
        </w:rPr>
        <w:t xml:space="preserve">e-mail: </w:t>
      </w:r>
      <w:hyperlink r:id="rId8">
        <w:r>
          <w:rPr>
            <w:rStyle w:val="Internetovodkaz"/>
            <w:rFonts w:ascii="Verdana" w:hAnsi="Verdana"/>
            <w:sz w:val="16"/>
            <w:szCs w:val="16"/>
          </w:rPr>
          <w:t>hanicakova@jfo.cz</w:t>
        </w:r>
      </w:hyperlink>
      <w:r>
        <w:t xml:space="preserve"> </w:t>
      </w:r>
      <w:r>
        <w:rPr>
          <w:rFonts w:ascii="Verdana" w:hAnsi="Verdana"/>
          <w:sz w:val="16"/>
          <w:szCs w:val="16"/>
        </w:rPr>
        <w:t xml:space="preserve">| </w:t>
      </w:r>
      <w:hyperlink r:id="rId9">
        <w:r>
          <w:rPr>
            <w:rStyle w:val="Internetovodkaz"/>
            <w:rFonts w:ascii="Verdana" w:hAnsi="Verdana"/>
            <w:sz w:val="16"/>
            <w:szCs w:val="16"/>
          </w:rPr>
          <w:t>www.jfo.cz</w:t>
        </w:r>
      </w:hyperlink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e-mail: </w:t>
      </w:r>
      <w:hyperlink r:id="rId10">
        <w:r>
          <w:rPr>
            <w:rStyle w:val="Internetovodkaz"/>
            <w:rFonts w:ascii="Verdana" w:hAnsi="Verdana"/>
            <w:sz w:val="16"/>
            <w:szCs w:val="16"/>
          </w:rPr>
          <w:t>hlavacek@nipos.cz</w:t>
        </w:r>
      </w:hyperlink>
      <w:r>
        <w:rPr>
          <w:rStyle w:val="Navtveninternetovodkaz"/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|</w:t>
      </w:r>
      <w:hyperlink r:id="rId11">
        <w:r>
          <w:rPr>
            <w:rStyle w:val="Internetovodkaz"/>
            <w:rFonts w:ascii="Verdana" w:hAnsi="Verdana"/>
            <w:sz w:val="16"/>
            <w:szCs w:val="16"/>
          </w:rPr>
          <w:t>www.nipos.cz</w:t>
        </w:r>
      </w:hyperlink>
    </w:p>
    <w:p w:rsidR="000C1F17" w:rsidRDefault="000C1F17">
      <w:pPr>
        <w:spacing w:after="0" w:line="240" w:lineRule="auto"/>
      </w:pPr>
    </w:p>
    <w:sectPr w:rsidR="000C1F17">
      <w:headerReference w:type="default" r:id="rId12"/>
      <w:pgSz w:w="11906" w:h="16838"/>
      <w:pgMar w:top="1560" w:right="1417" w:bottom="851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62" w:rsidRDefault="001B0462">
      <w:pPr>
        <w:spacing w:after="0" w:line="240" w:lineRule="auto"/>
      </w:pPr>
      <w:r>
        <w:separator/>
      </w:r>
    </w:p>
  </w:endnote>
  <w:endnote w:type="continuationSeparator" w:id="0">
    <w:p w:rsidR="001B0462" w:rsidRDefault="001B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62" w:rsidRDefault="001B0462">
      <w:pPr>
        <w:spacing w:after="0" w:line="240" w:lineRule="auto"/>
      </w:pPr>
      <w:r>
        <w:separator/>
      </w:r>
    </w:p>
  </w:footnote>
  <w:footnote w:type="continuationSeparator" w:id="0">
    <w:p w:rsidR="001B0462" w:rsidRDefault="001B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17" w:rsidRDefault="000C1F17">
    <w:pPr>
      <w:spacing w:after="0" w:line="240" w:lineRule="auto"/>
      <w:jc w:val="center"/>
      <w:rPr>
        <w:rFonts w:ascii="Verdana" w:hAnsi="Verdana"/>
        <w:b/>
        <w:bCs/>
        <w:color w:val="000000"/>
        <w:sz w:val="16"/>
        <w:szCs w:val="16"/>
        <w:u w:val="single"/>
      </w:rPr>
    </w:pPr>
  </w:p>
  <w:p w:rsidR="000C1F17" w:rsidRDefault="000C1F17">
    <w:pPr>
      <w:spacing w:after="0" w:line="240" w:lineRule="auto"/>
      <w:jc w:val="center"/>
      <w:rPr>
        <w:rFonts w:ascii="Verdana" w:hAnsi="Verdana"/>
        <w:b/>
        <w:bCs/>
        <w:color w:val="000000"/>
        <w:sz w:val="16"/>
        <w:szCs w:val="16"/>
        <w:u w:val="single"/>
      </w:rPr>
    </w:pPr>
  </w:p>
  <w:p w:rsidR="000C1F17" w:rsidRDefault="00CE2CFB">
    <w:pPr>
      <w:spacing w:after="0" w:line="240" w:lineRule="auto"/>
      <w:jc w:val="center"/>
      <w:rPr>
        <w:rFonts w:ascii="Verdana" w:hAnsi="Verdana"/>
        <w:b/>
        <w:bCs/>
        <w:color w:val="000000"/>
        <w:sz w:val="16"/>
        <w:szCs w:val="16"/>
        <w:u w:val="single"/>
      </w:rPr>
    </w:pPr>
    <w:r>
      <w:object w:dxaOrig="321" w:dyaOrig="321">
        <v:shape id="ole_rId1" o:spid="_x0000_i1025" style="width:28.2pt;height:28.2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Exch.Document.DC" ShapeID="ole_rId1" DrawAspect="Content" ObjectID="_1686136471" r:id="rId2"/>
      </w:object>
    </w:r>
    <w:r>
      <w:rPr>
        <w:lang w:eastAsia="cs-CZ"/>
      </w:rPr>
      <w:t xml:space="preserve">   </w:t>
    </w:r>
    <w:r>
      <w:rPr>
        <w:noProof/>
        <w:lang w:eastAsia="cs-CZ"/>
      </w:rPr>
      <w:drawing>
        <wp:inline distT="0" distB="0" distL="0" distR="0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1F17" w:rsidRDefault="000C1F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76D2"/>
    <w:multiLevelType w:val="multilevel"/>
    <w:tmpl w:val="3AE60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154752"/>
    <w:multiLevelType w:val="multilevel"/>
    <w:tmpl w:val="927E8F6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089D"/>
    <w:multiLevelType w:val="multilevel"/>
    <w:tmpl w:val="24121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967738"/>
    <w:multiLevelType w:val="multilevel"/>
    <w:tmpl w:val="679679C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A62F8"/>
    <w:multiLevelType w:val="multilevel"/>
    <w:tmpl w:val="0CDE068A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17"/>
    <w:rsid w:val="00011964"/>
    <w:rsid w:val="000C1F17"/>
    <w:rsid w:val="00190E0C"/>
    <w:rsid w:val="001B0462"/>
    <w:rsid w:val="0032725F"/>
    <w:rsid w:val="00CE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D6371-7EB8-448F-B164-18CB9E6C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1C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574FB"/>
    <w:rPr>
      <w:rFonts w:ascii="Arial" w:eastAsia="Times New Roman" w:hAnsi="Arial" w:cs="Arial"/>
      <w:color w:val="000000"/>
      <w:sz w:val="17"/>
      <w:szCs w:val="17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394AD3"/>
    <w:rPr>
      <w:color w:val="0000FF" w:themeColor="hyperlink"/>
      <w:u w:val="singl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9A1D7E"/>
    <w:rPr>
      <w:rFonts w:ascii="Courier New" w:hAnsi="Courier New" w:cs="Courier New"/>
      <w:color w:val="000000"/>
    </w:rPr>
  </w:style>
  <w:style w:type="character" w:customStyle="1" w:styleId="ListLabel1">
    <w:name w:val="ListLabel 1"/>
    <w:qFormat/>
    <w:rPr>
      <w:rFonts w:ascii="Verdana" w:hAnsi="Verdana"/>
      <w:b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/>
      <w:b/>
      <w:sz w:val="16"/>
    </w:rPr>
  </w:style>
  <w:style w:type="character" w:customStyle="1" w:styleId="ListLabel11">
    <w:name w:val="ListLabel 11"/>
    <w:qFormat/>
    <w:rPr>
      <w:rFonts w:ascii="Verdana" w:hAnsi="Verdana"/>
      <w:b/>
      <w:sz w:val="16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cs="Times New Roman"/>
      <w:b w:val="0"/>
      <w:sz w:val="24"/>
      <w:szCs w:val="24"/>
    </w:rPr>
  </w:style>
  <w:style w:type="character" w:customStyle="1" w:styleId="ListLabel14">
    <w:name w:val="ListLabel 14"/>
    <w:qFormat/>
    <w:rPr>
      <w:rFonts w:ascii="Verdana" w:hAnsi="Verdana"/>
      <w:b/>
      <w:sz w:val="16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rFonts w:ascii="Verdana" w:hAnsi="Verdana"/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71D07"/>
    <w:rPr>
      <w:color w:val="00000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71D07"/>
    <w:rPr>
      <w:color w:val="00000A"/>
      <w:sz w:val="22"/>
      <w:szCs w:val="22"/>
      <w:lang w:eastAsia="en-US"/>
    </w:rPr>
  </w:style>
  <w:style w:type="character" w:customStyle="1" w:styleId="ListLabel25">
    <w:name w:val="ListLabel 25"/>
    <w:qFormat/>
    <w:rPr>
      <w:rFonts w:ascii="Verdana" w:hAnsi="Verdana"/>
      <w:b/>
      <w:sz w:val="16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b/>
      <w:sz w:val="16"/>
    </w:rPr>
  </w:style>
  <w:style w:type="character" w:customStyle="1" w:styleId="ListLabel35">
    <w:name w:val="ListLabel 35"/>
    <w:qFormat/>
    <w:rPr>
      <w:rFonts w:ascii="Verdana" w:hAnsi="Verdana"/>
      <w:b/>
      <w:sz w:val="16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36">
    <w:name w:val="ListLabel 36"/>
    <w:qFormat/>
    <w:rPr>
      <w:rFonts w:ascii="Verdana" w:hAnsi="Verdana"/>
      <w:b/>
      <w:sz w:val="16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b/>
      <w:sz w:val="16"/>
    </w:rPr>
  </w:style>
  <w:style w:type="character" w:customStyle="1" w:styleId="ListLabel46">
    <w:name w:val="ListLabel 46"/>
    <w:qFormat/>
    <w:rPr>
      <w:rFonts w:ascii="Verdana" w:hAnsi="Verdana"/>
      <w:b/>
      <w:sz w:val="16"/>
    </w:rPr>
  </w:style>
  <w:style w:type="character" w:customStyle="1" w:styleId="ListLabel47">
    <w:name w:val="ListLabel 47"/>
    <w:qFormat/>
    <w:rPr>
      <w:rFonts w:ascii="Verdana" w:hAnsi="Verdana"/>
      <w:b/>
      <w:sz w:val="16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b/>
      <w:sz w:val="16"/>
    </w:rPr>
  </w:style>
  <w:style w:type="character" w:customStyle="1" w:styleId="ListLabel57">
    <w:name w:val="ListLabel 57"/>
    <w:qFormat/>
    <w:rPr>
      <w:rFonts w:ascii="Verdana" w:hAnsi="Verdana"/>
      <w:b/>
      <w:sz w:val="16"/>
    </w:rPr>
  </w:style>
  <w:style w:type="character" w:customStyle="1" w:styleId="ListLabel58">
    <w:name w:val="ListLabel 58"/>
    <w:qFormat/>
    <w:rPr>
      <w:rFonts w:ascii="Verdana" w:hAnsi="Verdana"/>
      <w:b/>
      <w:sz w:val="16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b/>
      <w:sz w:val="16"/>
    </w:rPr>
  </w:style>
  <w:style w:type="character" w:customStyle="1" w:styleId="ListLabel68">
    <w:name w:val="ListLabel 68"/>
    <w:qFormat/>
    <w:rPr>
      <w:rFonts w:ascii="Verdana" w:hAnsi="Verdana"/>
      <w:b/>
      <w:sz w:val="16"/>
    </w:rPr>
  </w:style>
  <w:style w:type="character" w:customStyle="1" w:styleId="ListLabel69">
    <w:name w:val="ListLabel 69"/>
    <w:qFormat/>
    <w:rPr>
      <w:rFonts w:ascii="Verdana" w:hAnsi="Verdana"/>
      <w:b/>
      <w:sz w:val="16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b/>
      <w:sz w:val="16"/>
    </w:rPr>
  </w:style>
  <w:style w:type="character" w:customStyle="1" w:styleId="ListLabel79">
    <w:name w:val="ListLabel 79"/>
    <w:qFormat/>
    <w:rPr>
      <w:rFonts w:ascii="Verdana" w:hAnsi="Verdana"/>
      <w:b/>
      <w:sz w:val="16"/>
    </w:rPr>
  </w:style>
  <w:style w:type="character" w:customStyle="1" w:styleId="ListLabel80">
    <w:name w:val="ListLabel 80"/>
    <w:qFormat/>
    <w:rPr>
      <w:rFonts w:ascii="Verdana" w:hAnsi="Verdana"/>
      <w:b/>
      <w:sz w:val="16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  <w:sz w:val="16"/>
    </w:rPr>
  </w:style>
  <w:style w:type="character" w:customStyle="1" w:styleId="ListLabel90">
    <w:name w:val="ListLabel 90"/>
    <w:qFormat/>
    <w:rPr>
      <w:rFonts w:ascii="Verdana" w:hAnsi="Verdana"/>
      <w:b/>
      <w:sz w:val="16"/>
    </w:rPr>
  </w:style>
  <w:style w:type="character" w:customStyle="1" w:styleId="ListLabel91">
    <w:name w:val="ListLabel 91"/>
    <w:qFormat/>
    <w:rPr>
      <w:rFonts w:ascii="Verdana" w:hAnsi="Verdana"/>
      <w:b/>
      <w:sz w:val="16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b/>
      <w:sz w:val="16"/>
    </w:rPr>
  </w:style>
  <w:style w:type="character" w:customStyle="1" w:styleId="ListLabel101">
    <w:name w:val="ListLabel 101"/>
    <w:qFormat/>
    <w:rPr>
      <w:rFonts w:ascii="Verdana" w:hAnsi="Verdana"/>
      <w:b/>
      <w:sz w:val="16"/>
    </w:rPr>
  </w:style>
  <w:style w:type="character" w:customStyle="1" w:styleId="ListLabel102">
    <w:name w:val="ListLabel 102"/>
    <w:qFormat/>
    <w:rPr>
      <w:rFonts w:ascii="Verdana" w:hAnsi="Verdana"/>
      <w:b/>
      <w:sz w:val="16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b/>
      <w:sz w:val="16"/>
    </w:rPr>
  </w:style>
  <w:style w:type="character" w:customStyle="1" w:styleId="ListLabel112">
    <w:name w:val="ListLabel 112"/>
    <w:qFormat/>
    <w:rPr>
      <w:rFonts w:ascii="Verdana" w:hAnsi="Verdana"/>
      <w:b/>
      <w:sz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574FB"/>
    <w:pPr>
      <w:spacing w:after="0" w:line="240" w:lineRule="auto"/>
      <w:jc w:val="both"/>
    </w:pPr>
    <w:rPr>
      <w:rFonts w:ascii="Arial" w:eastAsia="Times New Roman" w:hAnsi="Arial" w:cs="Arial"/>
      <w:color w:val="000000"/>
      <w:sz w:val="17"/>
      <w:szCs w:val="17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E9751D"/>
    <w:pPr>
      <w:ind w:left="708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9A1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Bezmezer">
    <w:name w:val="No Spacing"/>
    <w:uiPriority w:val="1"/>
    <w:qFormat/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71D0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71D0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po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lavacek@nipo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fo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B571-42D6-44BC-9583-7220150F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Hlaváček</dc:creator>
  <dc:description/>
  <cp:lastModifiedBy>Markéta Haničáková</cp:lastModifiedBy>
  <cp:revision>4</cp:revision>
  <cp:lastPrinted>2014-01-27T12:41:00Z</cp:lastPrinted>
  <dcterms:created xsi:type="dcterms:W3CDTF">2021-06-24T22:29:00Z</dcterms:created>
  <dcterms:modified xsi:type="dcterms:W3CDTF">2021-06-25T12:28:00Z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NIPOS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